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8CA78" w14:textId="78409CBA" w:rsidR="00A67591" w:rsidRPr="00A67591" w:rsidRDefault="00A67591" w:rsidP="00A67591">
      <w:pPr>
        <w:spacing w:after="0" w:line="240" w:lineRule="auto"/>
        <w:rPr>
          <w:b/>
          <w:bCs/>
          <w:sz w:val="20"/>
          <w:szCs w:val="20"/>
        </w:rPr>
      </w:pPr>
      <w:r w:rsidRPr="00A67591">
        <w:rPr>
          <w:b/>
          <w:bCs/>
          <w:sz w:val="20"/>
          <w:szCs w:val="20"/>
        </w:rPr>
        <w:t xml:space="preserve">Name: </w:t>
      </w:r>
    </w:p>
    <w:p w14:paraId="0AEA495B" w14:textId="54527DA8" w:rsidR="00A67591" w:rsidRPr="00A67591" w:rsidRDefault="00A67591" w:rsidP="00A67591">
      <w:pPr>
        <w:spacing w:after="0" w:line="240" w:lineRule="auto"/>
        <w:rPr>
          <w:b/>
          <w:bCs/>
          <w:sz w:val="20"/>
          <w:szCs w:val="20"/>
        </w:rPr>
      </w:pPr>
      <w:r w:rsidRPr="00A67591">
        <w:rPr>
          <w:b/>
          <w:bCs/>
          <w:sz w:val="20"/>
          <w:szCs w:val="20"/>
        </w:rPr>
        <w:t>Address:</w:t>
      </w:r>
    </w:p>
    <w:p w14:paraId="6F0723B0" w14:textId="76202999" w:rsidR="004D2418" w:rsidRPr="00A67591" w:rsidRDefault="004D2418" w:rsidP="00A67591">
      <w:pPr>
        <w:spacing w:after="0" w:line="240" w:lineRule="auto"/>
        <w:rPr>
          <w:b/>
          <w:bCs/>
          <w:sz w:val="20"/>
          <w:szCs w:val="20"/>
        </w:rPr>
      </w:pPr>
      <w:r w:rsidRPr="00A67591">
        <w:rPr>
          <w:b/>
          <w:bCs/>
          <w:sz w:val="20"/>
          <w:szCs w:val="20"/>
        </w:rPr>
        <w:t xml:space="preserve">Date: </w:t>
      </w:r>
    </w:p>
    <w:p w14:paraId="7B570B06" w14:textId="77777777" w:rsidR="00A67591" w:rsidRPr="00A67591" w:rsidRDefault="00A67591" w:rsidP="00A67591">
      <w:pPr>
        <w:spacing w:after="0" w:line="240" w:lineRule="auto"/>
        <w:rPr>
          <w:b/>
          <w:bCs/>
          <w:sz w:val="20"/>
          <w:szCs w:val="20"/>
        </w:rPr>
      </w:pPr>
    </w:p>
    <w:p w14:paraId="4979A1D1" w14:textId="3ADDEE2E" w:rsidR="00DA706E" w:rsidRPr="00A67591" w:rsidRDefault="00DA706E" w:rsidP="00A67591">
      <w:pPr>
        <w:spacing w:after="0" w:line="240" w:lineRule="auto"/>
        <w:rPr>
          <w:b/>
          <w:bCs/>
          <w:sz w:val="20"/>
          <w:szCs w:val="20"/>
        </w:rPr>
      </w:pPr>
      <w:r w:rsidRPr="00A67591">
        <w:rPr>
          <w:b/>
          <w:bCs/>
          <w:sz w:val="20"/>
          <w:szCs w:val="20"/>
        </w:rPr>
        <w:t>Subject: Formal Objection to Green Belt Downgrading in Stockport and Allocation of Site HOM 2.18 (Sandown Road)</w:t>
      </w:r>
    </w:p>
    <w:p w14:paraId="4D2C9AB4" w14:textId="0B15415F" w:rsidR="00DA706E" w:rsidRDefault="00DA706E" w:rsidP="00A67591">
      <w:pPr>
        <w:spacing w:after="0" w:line="240" w:lineRule="auto"/>
        <w:rPr>
          <w:b/>
          <w:bCs/>
          <w:sz w:val="20"/>
          <w:szCs w:val="20"/>
        </w:rPr>
      </w:pPr>
      <w:r w:rsidRPr="00A67591">
        <w:rPr>
          <w:sz w:val="20"/>
          <w:szCs w:val="20"/>
        </w:rPr>
        <w:br/>
      </w:r>
      <w:r w:rsidRPr="00A67591">
        <w:rPr>
          <w:b/>
          <w:bCs/>
          <w:sz w:val="20"/>
          <w:szCs w:val="20"/>
        </w:rPr>
        <w:t>To: The Planning Policy Team</w:t>
      </w:r>
    </w:p>
    <w:p w14:paraId="4BB9ED80" w14:textId="77777777" w:rsidR="00A67591" w:rsidRPr="00A67591" w:rsidRDefault="00A67591" w:rsidP="00A67591">
      <w:pPr>
        <w:spacing w:after="0" w:line="240" w:lineRule="auto"/>
        <w:rPr>
          <w:sz w:val="20"/>
          <w:szCs w:val="20"/>
        </w:rPr>
      </w:pPr>
    </w:p>
    <w:p w14:paraId="4337CC0C" w14:textId="77777777" w:rsidR="00DA706E" w:rsidRPr="00A67591" w:rsidRDefault="00DA706E" w:rsidP="00A67591">
      <w:pPr>
        <w:spacing w:after="0" w:line="240" w:lineRule="auto"/>
        <w:rPr>
          <w:sz w:val="20"/>
          <w:szCs w:val="20"/>
        </w:rPr>
      </w:pPr>
      <w:r w:rsidRPr="00A67591">
        <w:rPr>
          <w:sz w:val="20"/>
          <w:szCs w:val="20"/>
        </w:rPr>
        <w:t>I am writing to register my strong objection to the allocation of Green Belt land within the emerging Local Plan, specifically HOM 2.18 (Sandown Road) and any associated reclassification of Green Belt to “safeguarded” or development land.</w:t>
      </w:r>
    </w:p>
    <w:p w14:paraId="4E9BCE56" w14:textId="77777777" w:rsidR="00DA706E" w:rsidRDefault="00DA706E" w:rsidP="00A67591">
      <w:pPr>
        <w:spacing w:after="0" w:line="240" w:lineRule="auto"/>
        <w:rPr>
          <w:sz w:val="20"/>
          <w:szCs w:val="20"/>
        </w:rPr>
      </w:pPr>
      <w:r w:rsidRPr="00A67591">
        <w:rPr>
          <w:sz w:val="20"/>
          <w:szCs w:val="20"/>
        </w:rPr>
        <w:t>This proposal is unsound, unjustified and inconsistent with national planning policy, and fails multiple legal and sustainability tests required of a Local Plan.</w:t>
      </w:r>
    </w:p>
    <w:p w14:paraId="439E8FBE" w14:textId="77777777" w:rsidR="00A67591" w:rsidRPr="00A67591" w:rsidRDefault="00A67591" w:rsidP="00A67591">
      <w:pPr>
        <w:spacing w:after="0" w:line="240" w:lineRule="auto"/>
        <w:rPr>
          <w:sz w:val="20"/>
          <w:szCs w:val="20"/>
        </w:rPr>
      </w:pPr>
    </w:p>
    <w:p w14:paraId="381BB034" w14:textId="77777777" w:rsidR="00DA706E" w:rsidRPr="00A67591" w:rsidRDefault="00DA706E" w:rsidP="00A67591">
      <w:pPr>
        <w:spacing w:after="0" w:line="240" w:lineRule="auto"/>
        <w:rPr>
          <w:b/>
          <w:bCs/>
          <w:sz w:val="20"/>
          <w:szCs w:val="20"/>
        </w:rPr>
      </w:pPr>
      <w:r w:rsidRPr="00A67591">
        <w:rPr>
          <w:b/>
          <w:bCs/>
          <w:sz w:val="20"/>
          <w:szCs w:val="20"/>
        </w:rPr>
        <w:t>1. Conflict with the National Planning Policy Framework (</w:t>
      </w:r>
      <w:proofErr w:type="spellStart"/>
      <w:r w:rsidRPr="00A67591">
        <w:rPr>
          <w:b/>
          <w:bCs/>
          <w:sz w:val="20"/>
          <w:szCs w:val="20"/>
        </w:rPr>
        <w:t>NPPF</w:t>
      </w:r>
      <w:proofErr w:type="spellEnd"/>
      <w:r w:rsidRPr="00A67591">
        <w:rPr>
          <w:b/>
          <w:bCs/>
          <w:sz w:val="20"/>
          <w:szCs w:val="20"/>
        </w:rPr>
        <w:t>)</w:t>
      </w:r>
    </w:p>
    <w:p w14:paraId="19439F72" w14:textId="77777777" w:rsidR="00DA706E" w:rsidRPr="00A67591" w:rsidRDefault="00DA706E" w:rsidP="00A67591">
      <w:pPr>
        <w:spacing w:after="0" w:line="240" w:lineRule="auto"/>
        <w:rPr>
          <w:sz w:val="20"/>
          <w:szCs w:val="20"/>
        </w:rPr>
      </w:pPr>
      <w:r w:rsidRPr="00A67591">
        <w:rPr>
          <w:sz w:val="20"/>
          <w:szCs w:val="20"/>
        </w:rPr>
        <w:t xml:space="preserve">The </w:t>
      </w:r>
      <w:proofErr w:type="spellStart"/>
      <w:r w:rsidRPr="00A67591">
        <w:rPr>
          <w:sz w:val="20"/>
          <w:szCs w:val="20"/>
        </w:rPr>
        <w:t>NPPF</w:t>
      </w:r>
      <w:proofErr w:type="spellEnd"/>
      <w:r w:rsidRPr="00A67591">
        <w:rPr>
          <w:sz w:val="20"/>
          <w:szCs w:val="20"/>
        </w:rPr>
        <w:t xml:space="preserve"> is unequivocal:</w:t>
      </w:r>
    </w:p>
    <w:p w14:paraId="5248A91C" w14:textId="77777777" w:rsidR="00DA706E" w:rsidRPr="00A67591" w:rsidRDefault="00DA706E" w:rsidP="00A67591">
      <w:pPr>
        <w:numPr>
          <w:ilvl w:val="0"/>
          <w:numId w:val="1"/>
        </w:numPr>
        <w:spacing w:after="0" w:line="240" w:lineRule="auto"/>
        <w:rPr>
          <w:sz w:val="20"/>
          <w:szCs w:val="20"/>
        </w:rPr>
      </w:pPr>
      <w:r w:rsidRPr="00A67591">
        <w:rPr>
          <w:b/>
          <w:bCs/>
          <w:sz w:val="20"/>
          <w:szCs w:val="20"/>
        </w:rPr>
        <w:t>Paras 140–143</w:t>
      </w:r>
      <w:r w:rsidRPr="00A67591">
        <w:rPr>
          <w:sz w:val="20"/>
          <w:szCs w:val="20"/>
        </w:rPr>
        <w:t xml:space="preserve">: Green Belt boundaries should </w:t>
      </w:r>
      <w:r w:rsidRPr="00A67591">
        <w:rPr>
          <w:i/>
          <w:iCs/>
          <w:sz w:val="20"/>
          <w:szCs w:val="20"/>
        </w:rPr>
        <w:t>only</w:t>
      </w:r>
      <w:r w:rsidRPr="00A67591">
        <w:rPr>
          <w:sz w:val="20"/>
          <w:szCs w:val="20"/>
        </w:rPr>
        <w:t xml:space="preserve"> be altered </w:t>
      </w:r>
      <w:r w:rsidRPr="00A67591">
        <w:rPr>
          <w:b/>
          <w:bCs/>
          <w:sz w:val="20"/>
          <w:szCs w:val="20"/>
        </w:rPr>
        <w:t>in exceptional circumstances</w:t>
      </w:r>
      <w:r w:rsidRPr="00A67591">
        <w:rPr>
          <w:sz w:val="20"/>
          <w:szCs w:val="20"/>
        </w:rPr>
        <w:t xml:space="preserve">, and </w:t>
      </w:r>
      <w:r w:rsidRPr="00A67591">
        <w:rPr>
          <w:i/>
          <w:iCs/>
          <w:sz w:val="20"/>
          <w:szCs w:val="20"/>
        </w:rPr>
        <w:t>only</w:t>
      </w:r>
      <w:r w:rsidRPr="00A67591">
        <w:rPr>
          <w:sz w:val="20"/>
          <w:szCs w:val="20"/>
        </w:rPr>
        <w:t xml:space="preserve"> through the Local Plan process.</w:t>
      </w:r>
    </w:p>
    <w:p w14:paraId="488C8910" w14:textId="77777777" w:rsidR="00DA706E" w:rsidRPr="00A67591" w:rsidRDefault="00DA706E" w:rsidP="00A67591">
      <w:pPr>
        <w:numPr>
          <w:ilvl w:val="0"/>
          <w:numId w:val="1"/>
        </w:numPr>
        <w:spacing w:after="0" w:line="240" w:lineRule="auto"/>
        <w:rPr>
          <w:sz w:val="20"/>
          <w:szCs w:val="20"/>
        </w:rPr>
      </w:pPr>
      <w:r w:rsidRPr="00A67591">
        <w:rPr>
          <w:b/>
          <w:bCs/>
          <w:sz w:val="20"/>
          <w:szCs w:val="20"/>
        </w:rPr>
        <w:t>Para 145</w:t>
      </w:r>
      <w:r w:rsidRPr="00A67591">
        <w:rPr>
          <w:sz w:val="20"/>
          <w:szCs w:val="20"/>
        </w:rPr>
        <w:t>: Plans must “</w:t>
      </w:r>
      <w:r w:rsidRPr="00A67591">
        <w:rPr>
          <w:i/>
          <w:iCs/>
          <w:sz w:val="20"/>
          <w:szCs w:val="20"/>
        </w:rPr>
        <w:t>fully evidence and justify</w:t>
      </w:r>
      <w:r w:rsidRPr="00A67591">
        <w:rPr>
          <w:sz w:val="20"/>
          <w:szCs w:val="20"/>
        </w:rPr>
        <w:t>” any such change.</w:t>
      </w:r>
    </w:p>
    <w:p w14:paraId="5273083F" w14:textId="77777777" w:rsidR="00DA706E" w:rsidRDefault="00DA706E" w:rsidP="00A67591">
      <w:pPr>
        <w:numPr>
          <w:ilvl w:val="0"/>
          <w:numId w:val="1"/>
        </w:numPr>
        <w:spacing w:after="0" w:line="240" w:lineRule="auto"/>
        <w:rPr>
          <w:sz w:val="20"/>
          <w:szCs w:val="20"/>
        </w:rPr>
      </w:pPr>
      <w:r w:rsidRPr="00A67591">
        <w:rPr>
          <w:b/>
          <w:bCs/>
          <w:sz w:val="20"/>
          <w:szCs w:val="20"/>
        </w:rPr>
        <w:t>Para 148</w:t>
      </w:r>
      <w:r w:rsidRPr="00A67591">
        <w:rPr>
          <w:sz w:val="20"/>
          <w:szCs w:val="20"/>
        </w:rPr>
        <w:t>: Authorities must “</w:t>
      </w:r>
      <w:r w:rsidRPr="00A67591">
        <w:rPr>
          <w:i/>
          <w:iCs/>
          <w:sz w:val="20"/>
          <w:szCs w:val="20"/>
        </w:rPr>
        <w:t>promote sustainable development</w:t>
      </w:r>
      <w:r w:rsidRPr="00A67591">
        <w:rPr>
          <w:sz w:val="20"/>
          <w:szCs w:val="20"/>
        </w:rPr>
        <w:t>” and minimise carbon emissions.</w:t>
      </w:r>
    </w:p>
    <w:p w14:paraId="72D887AE" w14:textId="77777777" w:rsidR="00A67591" w:rsidRPr="00A67591" w:rsidRDefault="00A67591" w:rsidP="00A67591">
      <w:pPr>
        <w:spacing w:after="0" w:line="240" w:lineRule="auto"/>
        <w:ind w:left="720"/>
        <w:rPr>
          <w:sz w:val="20"/>
          <w:szCs w:val="20"/>
        </w:rPr>
      </w:pPr>
    </w:p>
    <w:p w14:paraId="655F59BF" w14:textId="4C8A86A5" w:rsidR="00DA706E" w:rsidRDefault="00DA706E" w:rsidP="00A67591">
      <w:pPr>
        <w:spacing w:after="0" w:line="240" w:lineRule="auto"/>
        <w:rPr>
          <w:sz w:val="20"/>
          <w:szCs w:val="20"/>
        </w:rPr>
      </w:pPr>
      <w:r w:rsidRPr="00A67591">
        <w:rPr>
          <w:sz w:val="20"/>
          <w:szCs w:val="20"/>
        </w:rPr>
        <w:t>No exceptional circumstances have been demonstrated.</w:t>
      </w:r>
      <w:r w:rsidR="00A67591">
        <w:rPr>
          <w:sz w:val="20"/>
          <w:szCs w:val="20"/>
        </w:rPr>
        <w:t xml:space="preserve"> </w:t>
      </w:r>
      <w:r w:rsidRPr="00A67591">
        <w:rPr>
          <w:sz w:val="20"/>
          <w:szCs w:val="20"/>
        </w:rPr>
        <w:t>Stockport’s justification appears based almost entirely on:</w:t>
      </w:r>
    </w:p>
    <w:p w14:paraId="621B156C" w14:textId="77777777" w:rsidR="00A67591" w:rsidRPr="00A67591" w:rsidRDefault="00A67591" w:rsidP="00A67591">
      <w:pPr>
        <w:spacing w:after="0" w:line="240" w:lineRule="auto"/>
        <w:rPr>
          <w:sz w:val="20"/>
          <w:szCs w:val="20"/>
        </w:rPr>
      </w:pPr>
    </w:p>
    <w:p w14:paraId="1602D499" w14:textId="77777777" w:rsidR="00DA706E" w:rsidRPr="00A67591" w:rsidRDefault="00DA706E" w:rsidP="00A67591">
      <w:pPr>
        <w:numPr>
          <w:ilvl w:val="0"/>
          <w:numId w:val="2"/>
        </w:numPr>
        <w:spacing w:after="0" w:line="240" w:lineRule="auto"/>
        <w:rPr>
          <w:sz w:val="20"/>
          <w:szCs w:val="20"/>
        </w:rPr>
      </w:pPr>
      <w:r w:rsidRPr="00A67591">
        <w:rPr>
          <w:sz w:val="20"/>
          <w:szCs w:val="20"/>
        </w:rPr>
        <w:t xml:space="preserve">Standard Method housing numbers (which government confirms are </w:t>
      </w:r>
      <w:r w:rsidRPr="00A67591">
        <w:rPr>
          <w:i/>
          <w:iCs/>
          <w:sz w:val="20"/>
          <w:szCs w:val="20"/>
        </w:rPr>
        <w:t>advisory</w:t>
      </w:r>
      <w:r w:rsidRPr="00A67591">
        <w:rPr>
          <w:sz w:val="20"/>
          <w:szCs w:val="20"/>
        </w:rPr>
        <w:t>, not mandatory); and</w:t>
      </w:r>
    </w:p>
    <w:p w14:paraId="05A2ADC1" w14:textId="77777777" w:rsidR="00DA706E" w:rsidRDefault="00DA706E" w:rsidP="00A67591">
      <w:pPr>
        <w:numPr>
          <w:ilvl w:val="0"/>
          <w:numId w:val="2"/>
        </w:numPr>
        <w:spacing w:after="0" w:line="240" w:lineRule="auto"/>
        <w:rPr>
          <w:sz w:val="20"/>
          <w:szCs w:val="20"/>
        </w:rPr>
      </w:pPr>
      <w:r w:rsidRPr="00A67591">
        <w:rPr>
          <w:sz w:val="20"/>
          <w:szCs w:val="20"/>
        </w:rPr>
        <w:t>An assumption that Green Belt release is necessary, without proving brownfield or densification alternatives have been exhausted.</w:t>
      </w:r>
    </w:p>
    <w:p w14:paraId="78BB7E46" w14:textId="77777777" w:rsidR="00A67591" w:rsidRPr="00A67591" w:rsidRDefault="00A67591" w:rsidP="00A67591">
      <w:pPr>
        <w:spacing w:after="0" w:line="240" w:lineRule="auto"/>
        <w:ind w:left="720"/>
        <w:rPr>
          <w:sz w:val="20"/>
          <w:szCs w:val="20"/>
        </w:rPr>
      </w:pPr>
    </w:p>
    <w:p w14:paraId="4CF0731E" w14:textId="77777777" w:rsidR="00DA706E" w:rsidRDefault="00DA706E" w:rsidP="00A67591">
      <w:pPr>
        <w:spacing w:after="0" w:line="240" w:lineRule="auto"/>
        <w:rPr>
          <w:sz w:val="20"/>
          <w:szCs w:val="20"/>
        </w:rPr>
      </w:pPr>
      <w:r w:rsidRPr="00A67591">
        <w:rPr>
          <w:sz w:val="20"/>
          <w:szCs w:val="20"/>
        </w:rPr>
        <w:t xml:space="preserve">This directly conflicts with the </w:t>
      </w:r>
      <w:proofErr w:type="spellStart"/>
      <w:r w:rsidRPr="00A67591">
        <w:rPr>
          <w:sz w:val="20"/>
          <w:szCs w:val="20"/>
        </w:rPr>
        <w:t>NPPF</w:t>
      </w:r>
      <w:proofErr w:type="spellEnd"/>
      <w:r w:rsidRPr="00A67591">
        <w:rPr>
          <w:sz w:val="20"/>
          <w:szCs w:val="20"/>
        </w:rPr>
        <w:t xml:space="preserve">, recent Government Green Belt policy statements (Dec 2023 and Feb 2024), and multiple appeal decisions where Inspectors have reaffirmed that </w:t>
      </w:r>
      <w:r w:rsidRPr="00A67591">
        <w:rPr>
          <w:i/>
          <w:iCs/>
          <w:sz w:val="20"/>
          <w:szCs w:val="20"/>
        </w:rPr>
        <w:t>housing need alone does not constitute exceptional circumstances</w:t>
      </w:r>
      <w:r w:rsidRPr="00A67591">
        <w:rPr>
          <w:sz w:val="20"/>
          <w:szCs w:val="20"/>
        </w:rPr>
        <w:t>.</w:t>
      </w:r>
    </w:p>
    <w:p w14:paraId="25C58EA3" w14:textId="77777777" w:rsidR="00A67591" w:rsidRPr="00A67591" w:rsidRDefault="00A67591" w:rsidP="00A67591">
      <w:pPr>
        <w:spacing w:after="0" w:line="240" w:lineRule="auto"/>
        <w:rPr>
          <w:sz w:val="20"/>
          <w:szCs w:val="20"/>
        </w:rPr>
      </w:pPr>
    </w:p>
    <w:p w14:paraId="413F846A" w14:textId="77777777" w:rsidR="00DA706E" w:rsidRPr="00A67591" w:rsidRDefault="00DA706E" w:rsidP="00A67591">
      <w:pPr>
        <w:spacing w:after="0" w:line="240" w:lineRule="auto"/>
        <w:rPr>
          <w:b/>
          <w:bCs/>
          <w:sz w:val="20"/>
          <w:szCs w:val="20"/>
        </w:rPr>
      </w:pPr>
      <w:r w:rsidRPr="00A67591">
        <w:rPr>
          <w:b/>
          <w:bCs/>
          <w:sz w:val="20"/>
          <w:szCs w:val="20"/>
        </w:rPr>
        <w:t>2. Failure to Prioritise Brownfield and Urban Regeneration</w:t>
      </w:r>
    </w:p>
    <w:p w14:paraId="3CC7AFBF" w14:textId="77777777" w:rsidR="00DA706E" w:rsidRPr="00A67591" w:rsidRDefault="00DA706E" w:rsidP="00A67591">
      <w:pPr>
        <w:spacing w:after="0" w:line="240" w:lineRule="auto"/>
        <w:rPr>
          <w:sz w:val="20"/>
          <w:szCs w:val="20"/>
        </w:rPr>
      </w:pPr>
      <w:r w:rsidRPr="00A67591">
        <w:rPr>
          <w:sz w:val="20"/>
          <w:szCs w:val="20"/>
        </w:rPr>
        <w:t xml:space="preserve">The </w:t>
      </w:r>
      <w:proofErr w:type="spellStart"/>
      <w:r w:rsidRPr="00A67591">
        <w:rPr>
          <w:sz w:val="20"/>
          <w:szCs w:val="20"/>
        </w:rPr>
        <w:t>NPPF</w:t>
      </w:r>
      <w:proofErr w:type="spellEnd"/>
      <w:r w:rsidRPr="00A67591">
        <w:rPr>
          <w:sz w:val="20"/>
          <w:szCs w:val="20"/>
        </w:rPr>
        <w:t xml:space="preserve"> requires authorities to:</w:t>
      </w:r>
    </w:p>
    <w:p w14:paraId="53AE190A" w14:textId="77777777" w:rsidR="00DA706E" w:rsidRPr="00A67591" w:rsidRDefault="00DA706E" w:rsidP="00A67591">
      <w:pPr>
        <w:numPr>
          <w:ilvl w:val="0"/>
          <w:numId w:val="3"/>
        </w:numPr>
        <w:spacing w:after="0" w:line="240" w:lineRule="auto"/>
        <w:rPr>
          <w:sz w:val="20"/>
          <w:szCs w:val="20"/>
        </w:rPr>
      </w:pPr>
      <w:r w:rsidRPr="00A67591">
        <w:rPr>
          <w:sz w:val="20"/>
          <w:szCs w:val="20"/>
        </w:rPr>
        <w:t xml:space="preserve">“Make as much use as possible of </w:t>
      </w:r>
      <w:proofErr w:type="gramStart"/>
      <w:r w:rsidRPr="00A67591">
        <w:rPr>
          <w:sz w:val="20"/>
          <w:szCs w:val="20"/>
        </w:rPr>
        <w:t>previously-developed</w:t>
      </w:r>
      <w:proofErr w:type="gramEnd"/>
      <w:r w:rsidRPr="00A67591">
        <w:rPr>
          <w:sz w:val="20"/>
          <w:szCs w:val="20"/>
        </w:rPr>
        <w:t xml:space="preserve"> land” (</w:t>
      </w:r>
      <w:proofErr w:type="spellStart"/>
      <w:r w:rsidRPr="00A67591">
        <w:rPr>
          <w:sz w:val="20"/>
          <w:szCs w:val="20"/>
        </w:rPr>
        <w:t>NPPF</w:t>
      </w:r>
      <w:proofErr w:type="spellEnd"/>
      <w:r w:rsidRPr="00A67591">
        <w:rPr>
          <w:sz w:val="20"/>
          <w:szCs w:val="20"/>
        </w:rPr>
        <w:t xml:space="preserve"> 119)</w:t>
      </w:r>
    </w:p>
    <w:p w14:paraId="590368A0" w14:textId="77777777" w:rsidR="00DA706E" w:rsidRDefault="00DA706E" w:rsidP="00A67591">
      <w:pPr>
        <w:numPr>
          <w:ilvl w:val="0"/>
          <w:numId w:val="3"/>
        </w:numPr>
        <w:spacing w:after="0" w:line="240" w:lineRule="auto"/>
        <w:rPr>
          <w:sz w:val="20"/>
          <w:szCs w:val="20"/>
        </w:rPr>
      </w:pPr>
      <w:r w:rsidRPr="00A67591">
        <w:rPr>
          <w:sz w:val="20"/>
          <w:szCs w:val="20"/>
        </w:rPr>
        <w:t>“Promote gentle density uplift” around transport hubs and urban centres (</w:t>
      </w:r>
      <w:proofErr w:type="spellStart"/>
      <w:r w:rsidRPr="00A67591">
        <w:rPr>
          <w:sz w:val="20"/>
          <w:szCs w:val="20"/>
        </w:rPr>
        <w:t>NPPF</w:t>
      </w:r>
      <w:proofErr w:type="spellEnd"/>
      <w:r w:rsidRPr="00A67591">
        <w:rPr>
          <w:sz w:val="20"/>
          <w:szCs w:val="20"/>
        </w:rPr>
        <w:t xml:space="preserve"> 124–125)</w:t>
      </w:r>
    </w:p>
    <w:p w14:paraId="73CE56FD" w14:textId="77777777" w:rsidR="00A67591" w:rsidRPr="00A67591" w:rsidRDefault="00A67591" w:rsidP="00A67591">
      <w:pPr>
        <w:spacing w:after="0" w:line="240" w:lineRule="auto"/>
        <w:ind w:left="720"/>
        <w:rPr>
          <w:sz w:val="20"/>
          <w:szCs w:val="20"/>
        </w:rPr>
      </w:pPr>
    </w:p>
    <w:p w14:paraId="72D1B3B7" w14:textId="77777777" w:rsidR="00DA706E" w:rsidRPr="00A67591" w:rsidRDefault="00DA706E" w:rsidP="00A67591">
      <w:pPr>
        <w:spacing w:after="0" w:line="240" w:lineRule="auto"/>
        <w:rPr>
          <w:sz w:val="20"/>
          <w:szCs w:val="20"/>
        </w:rPr>
      </w:pPr>
      <w:r w:rsidRPr="00A67591">
        <w:rPr>
          <w:sz w:val="20"/>
          <w:szCs w:val="20"/>
        </w:rPr>
        <w:t>Stockport has not demonstrated that brownfield capacity has been maximised, including:</w:t>
      </w:r>
    </w:p>
    <w:p w14:paraId="71E85B67" w14:textId="77777777" w:rsidR="00DA706E" w:rsidRPr="00A67591" w:rsidRDefault="00DA706E" w:rsidP="00A67591">
      <w:pPr>
        <w:numPr>
          <w:ilvl w:val="0"/>
          <w:numId w:val="4"/>
        </w:numPr>
        <w:spacing w:after="0" w:line="240" w:lineRule="auto"/>
        <w:rPr>
          <w:sz w:val="20"/>
          <w:szCs w:val="20"/>
        </w:rPr>
      </w:pPr>
      <w:r w:rsidRPr="00A67591">
        <w:rPr>
          <w:sz w:val="20"/>
          <w:szCs w:val="20"/>
        </w:rPr>
        <w:t>Major underused town-centre sites</w:t>
      </w:r>
    </w:p>
    <w:p w14:paraId="7A077C38" w14:textId="77777777" w:rsidR="00DA706E" w:rsidRPr="00A67591" w:rsidRDefault="00DA706E" w:rsidP="00A67591">
      <w:pPr>
        <w:numPr>
          <w:ilvl w:val="0"/>
          <w:numId w:val="4"/>
        </w:numPr>
        <w:spacing w:after="0" w:line="240" w:lineRule="auto"/>
        <w:rPr>
          <w:sz w:val="20"/>
          <w:szCs w:val="20"/>
        </w:rPr>
      </w:pPr>
      <w:r w:rsidRPr="00A67591">
        <w:rPr>
          <w:sz w:val="20"/>
          <w:szCs w:val="20"/>
        </w:rPr>
        <w:t>Vacant commercial buildings</w:t>
      </w:r>
    </w:p>
    <w:p w14:paraId="0C356FA7" w14:textId="77777777" w:rsidR="00DA706E" w:rsidRDefault="00DA706E" w:rsidP="00A67591">
      <w:pPr>
        <w:numPr>
          <w:ilvl w:val="0"/>
          <w:numId w:val="4"/>
        </w:numPr>
        <w:spacing w:after="0" w:line="240" w:lineRule="auto"/>
        <w:rPr>
          <w:sz w:val="20"/>
          <w:szCs w:val="20"/>
        </w:rPr>
      </w:pPr>
      <w:r w:rsidRPr="00A67591">
        <w:rPr>
          <w:sz w:val="20"/>
          <w:szCs w:val="20"/>
        </w:rPr>
        <w:t>Untapped density opportunities around key transport nodes (</w:t>
      </w:r>
      <w:proofErr w:type="spellStart"/>
      <w:r w:rsidRPr="00A67591">
        <w:rPr>
          <w:sz w:val="20"/>
          <w:szCs w:val="20"/>
        </w:rPr>
        <w:t>A6</w:t>
      </w:r>
      <w:proofErr w:type="spellEnd"/>
      <w:r w:rsidRPr="00A67591">
        <w:rPr>
          <w:sz w:val="20"/>
          <w:szCs w:val="20"/>
        </w:rPr>
        <w:t>, Hazel Grove station, Stockport station, Interchange)</w:t>
      </w:r>
    </w:p>
    <w:p w14:paraId="75EBA7CD" w14:textId="77777777" w:rsidR="00A67591" w:rsidRPr="00A67591" w:rsidRDefault="00A67591" w:rsidP="00A67591">
      <w:pPr>
        <w:spacing w:after="0" w:line="240" w:lineRule="auto"/>
        <w:ind w:left="720"/>
        <w:rPr>
          <w:sz w:val="20"/>
          <w:szCs w:val="20"/>
        </w:rPr>
      </w:pPr>
    </w:p>
    <w:p w14:paraId="690B2FFA" w14:textId="77777777" w:rsidR="00DA706E" w:rsidRDefault="00DA706E" w:rsidP="00A67591">
      <w:pPr>
        <w:spacing w:after="0" w:line="240" w:lineRule="auto"/>
        <w:rPr>
          <w:sz w:val="20"/>
          <w:szCs w:val="20"/>
        </w:rPr>
      </w:pPr>
      <w:r w:rsidRPr="00A67591">
        <w:rPr>
          <w:sz w:val="20"/>
          <w:szCs w:val="20"/>
        </w:rPr>
        <w:t>Until these avenues are exhausted, Green Belt release is premature and contrary to national policy.</w:t>
      </w:r>
    </w:p>
    <w:p w14:paraId="203F5A75" w14:textId="77777777" w:rsidR="00A67591" w:rsidRPr="00A67591" w:rsidRDefault="00A67591" w:rsidP="00A67591">
      <w:pPr>
        <w:spacing w:after="0" w:line="240" w:lineRule="auto"/>
        <w:rPr>
          <w:sz w:val="20"/>
          <w:szCs w:val="20"/>
        </w:rPr>
      </w:pPr>
    </w:p>
    <w:p w14:paraId="43857C83" w14:textId="77777777" w:rsidR="00DA706E" w:rsidRPr="00A67591" w:rsidRDefault="00DA706E" w:rsidP="00A67591">
      <w:pPr>
        <w:spacing w:after="0" w:line="240" w:lineRule="auto"/>
        <w:rPr>
          <w:b/>
          <w:bCs/>
          <w:sz w:val="20"/>
          <w:szCs w:val="20"/>
        </w:rPr>
      </w:pPr>
      <w:r w:rsidRPr="00A67591">
        <w:rPr>
          <w:b/>
          <w:bCs/>
          <w:sz w:val="20"/>
          <w:szCs w:val="20"/>
        </w:rPr>
        <w:t>3. Unsustainable Strain on Transport, Health &amp; Education Infrastructure</w:t>
      </w:r>
    </w:p>
    <w:p w14:paraId="73067F09" w14:textId="77777777" w:rsidR="00DA706E" w:rsidRDefault="00DA706E" w:rsidP="00A67591">
      <w:pPr>
        <w:spacing w:after="0" w:line="240" w:lineRule="auto"/>
        <w:rPr>
          <w:sz w:val="20"/>
          <w:szCs w:val="20"/>
        </w:rPr>
      </w:pPr>
      <w:r w:rsidRPr="00A67591">
        <w:rPr>
          <w:sz w:val="20"/>
          <w:szCs w:val="20"/>
        </w:rPr>
        <w:t>The Sandown Road development sits in an area already suffering:</w:t>
      </w:r>
    </w:p>
    <w:p w14:paraId="49587AF5" w14:textId="77777777" w:rsidR="00A67591" w:rsidRPr="00A67591" w:rsidRDefault="00A67591" w:rsidP="00A67591">
      <w:pPr>
        <w:spacing w:after="0" w:line="240" w:lineRule="auto"/>
        <w:rPr>
          <w:sz w:val="20"/>
          <w:szCs w:val="20"/>
        </w:rPr>
      </w:pPr>
    </w:p>
    <w:p w14:paraId="5B44671E" w14:textId="77777777" w:rsidR="00DA706E" w:rsidRPr="00A67591" w:rsidRDefault="00DA706E" w:rsidP="00A67591">
      <w:pPr>
        <w:spacing w:after="0" w:line="240" w:lineRule="auto"/>
        <w:rPr>
          <w:b/>
          <w:bCs/>
          <w:sz w:val="20"/>
          <w:szCs w:val="20"/>
        </w:rPr>
      </w:pPr>
      <w:r w:rsidRPr="00A67591">
        <w:rPr>
          <w:b/>
          <w:bCs/>
          <w:sz w:val="20"/>
          <w:szCs w:val="20"/>
        </w:rPr>
        <w:t>Traffic &amp; Transport</w:t>
      </w:r>
    </w:p>
    <w:p w14:paraId="6A34C4A2" w14:textId="77777777" w:rsidR="00DA706E" w:rsidRPr="00A67591" w:rsidRDefault="00DA706E" w:rsidP="00A67591">
      <w:pPr>
        <w:numPr>
          <w:ilvl w:val="0"/>
          <w:numId w:val="5"/>
        </w:numPr>
        <w:spacing w:after="0" w:line="240" w:lineRule="auto"/>
        <w:rPr>
          <w:sz w:val="20"/>
          <w:szCs w:val="20"/>
        </w:rPr>
      </w:pPr>
      <w:r w:rsidRPr="00A67591">
        <w:rPr>
          <w:sz w:val="20"/>
          <w:szCs w:val="20"/>
        </w:rPr>
        <w:t xml:space="preserve">Severe congestion at </w:t>
      </w:r>
      <w:proofErr w:type="spellStart"/>
      <w:r w:rsidRPr="00A67591">
        <w:rPr>
          <w:sz w:val="20"/>
          <w:szCs w:val="20"/>
        </w:rPr>
        <w:t>A6</w:t>
      </w:r>
      <w:proofErr w:type="spellEnd"/>
      <w:r w:rsidRPr="00A67591">
        <w:rPr>
          <w:sz w:val="20"/>
          <w:szCs w:val="20"/>
        </w:rPr>
        <w:t xml:space="preserve">, </w:t>
      </w:r>
      <w:proofErr w:type="spellStart"/>
      <w:r w:rsidRPr="00A67591">
        <w:rPr>
          <w:sz w:val="20"/>
          <w:szCs w:val="20"/>
        </w:rPr>
        <w:t>A560</w:t>
      </w:r>
      <w:proofErr w:type="spellEnd"/>
      <w:r w:rsidRPr="00A67591">
        <w:rPr>
          <w:sz w:val="20"/>
          <w:szCs w:val="20"/>
        </w:rPr>
        <w:t xml:space="preserve">, </w:t>
      </w:r>
      <w:proofErr w:type="spellStart"/>
      <w:r w:rsidRPr="00A67591">
        <w:rPr>
          <w:sz w:val="20"/>
          <w:szCs w:val="20"/>
        </w:rPr>
        <w:t>A555</w:t>
      </w:r>
      <w:proofErr w:type="spellEnd"/>
      <w:r w:rsidRPr="00A67591">
        <w:rPr>
          <w:sz w:val="20"/>
          <w:szCs w:val="20"/>
        </w:rPr>
        <w:t>, London Road and Buxton Road junctions</w:t>
      </w:r>
    </w:p>
    <w:p w14:paraId="056879C9" w14:textId="77777777" w:rsidR="00DA706E" w:rsidRPr="00A67591" w:rsidRDefault="00DA706E" w:rsidP="00A67591">
      <w:pPr>
        <w:numPr>
          <w:ilvl w:val="0"/>
          <w:numId w:val="5"/>
        </w:numPr>
        <w:spacing w:after="0" w:line="240" w:lineRule="auto"/>
        <w:rPr>
          <w:sz w:val="20"/>
          <w:szCs w:val="20"/>
        </w:rPr>
      </w:pPr>
      <w:r w:rsidRPr="00A67591">
        <w:rPr>
          <w:sz w:val="20"/>
          <w:szCs w:val="20"/>
        </w:rPr>
        <w:t>Hazel Grove already rated as having one of the worst congestion bottlenecks in GM</w:t>
      </w:r>
    </w:p>
    <w:p w14:paraId="1414BBF6" w14:textId="77777777" w:rsidR="00DA706E" w:rsidRDefault="00DA706E" w:rsidP="00A67591">
      <w:pPr>
        <w:numPr>
          <w:ilvl w:val="0"/>
          <w:numId w:val="5"/>
        </w:numPr>
        <w:spacing w:after="0" w:line="240" w:lineRule="auto"/>
        <w:rPr>
          <w:sz w:val="20"/>
          <w:szCs w:val="20"/>
        </w:rPr>
      </w:pPr>
      <w:r w:rsidRPr="00A67591">
        <w:rPr>
          <w:sz w:val="20"/>
          <w:szCs w:val="20"/>
        </w:rPr>
        <w:t>No committed funding for significant mitigation — only vague future “improvements”</w:t>
      </w:r>
    </w:p>
    <w:p w14:paraId="5D1507D8" w14:textId="77777777" w:rsidR="009021F6" w:rsidRPr="00A67591" w:rsidRDefault="009021F6" w:rsidP="009021F6">
      <w:pPr>
        <w:spacing w:after="0" w:line="240" w:lineRule="auto"/>
        <w:ind w:left="720"/>
        <w:rPr>
          <w:sz w:val="20"/>
          <w:szCs w:val="20"/>
        </w:rPr>
      </w:pPr>
    </w:p>
    <w:p w14:paraId="7A7B78B9" w14:textId="77777777" w:rsidR="00DA706E" w:rsidRDefault="00DA706E" w:rsidP="00A67591">
      <w:pPr>
        <w:spacing w:after="0" w:line="240" w:lineRule="auto"/>
        <w:rPr>
          <w:sz w:val="20"/>
          <w:szCs w:val="20"/>
        </w:rPr>
      </w:pPr>
      <w:r w:rsidRPr="00A67591">
        <w:rPr>
          <w:sz w:val="20"/>
          <w:szCs w:val="20"/>
        </w:rPr>
        <w:t xml:space="preserve">This conflicts with </w:t>
      </w:r>
      <w:proofErr w:type="spellStart"/>
      <w:r w:rsidRPr="00A67591">
        <w:rPr>
          <w:sz w:val="20"/>
          <w:szCs w:val="20"/>
        </w:rPr>
        <w:t>NPPF</w:t>
      </w:r>
      <w:proofErr w:type="spellEnd"/>
      <w:r w:rsidRPr="00A67591">
        <w:rPr>
          <w:sz w:val="20"/>
          <w:szCs w:val="20"/>
        </w:rPr>
        <w:t xml:space="preserve"> paras 104–106, requiring safe, sustainable and well-planned transport networks.</w:t>
      </w:r>
    </w:p>
    <w:p w14:paraId="31027221" w14:textId="77777777" w:rsidR="00A67591" w:rsidRPr="00A67591" w:rsidRDefault="00A67591" w:rsidP="00A67591">
      <w:pPr>
        <w:spacing w:after="0" w:line="240" w:lineRule="auto"/>
        <w:rPr>
          <w:sz w:val="20"/>
          <w:szCs w:val="20"/>
        </w:rPr>
      </w:pPr>
    </w:p>
    <w:p w14:paraId="6DD33F6D" w14:textId="77777777" w:rsidR="00DA706E" w:rsidRPr="00A67591" w:rsidRDefault="00DA706E" w:rsidP="00A67591">
      <w:pPr>
        <w:spacing w:after="0" w:line="240" w:lineRule="auto"/>
        <w:rPr>
          <w:b/>
          <w:bCs/>
          <w:sz w:val="20"/>
          <w:szCs w:val="20"/>
        </w:rPr>
      </w:pPr>
      <w:r w:rsidRPr="00A67591">
        <w:rPr>
          <w:b/>
          <w:bCs/>
          <w:sz w:val="20"/>
          <w:szCs w:val="20"/>
        </w:rPr>
        <w:t>Health &amp; Emergency Services</w:t>
      </w:r>
    </w:p>
    <w:p w14:paraId="5C3519EE" w14:textId="77777777" w:rsidR="00DA706E" w:rsidRPr="00A67591" w:rsidRDefault="00DA706E" w:rsidP="00A67591">
      <w:pPr>
        <w:numPr>
          <w:ilvl w:val="0"/>
          <w:numId w:val="6"/>
        </w:numPr>
        <w:spacing w:after="0" w:line="240" w:lineRule="auto"/>
        <w:rPr>
          <w:sz w:val="20"/>
          <w:szCs w:val="20"/>
        </w:rPr>
      </w:pPr>
      <w:r w:rsidRPr="00A67591">
        <w:rPr>
          <w:sz w:val="20"/>
          <w:szCs w:val="20"/>
        </w:rPr>
        <w:t>Stepping Hill Hospital operates at 98–100% occupancy</w:t>
      </w:r>
    </w:p>
    <w:p w14:paraId="7C309780" w14:textId="77777777" w:rsidR="00DA706E" w:rsidRPr="00A67591" w:rsidRDefault="00DA706E" w:rsidP="00A67591">
      <w:pPr>
        <w:numPr>
          <w:ilvl w:val="0"/>
          <w:numId w:val="6"/>
        </w:numPr>
        <w:spacing w:after="0" w:line="240" w:lineRule="auto"/>
        <w:rPr>
          <w:sz w:val="20"/>
          <w:szCs w:val="20"/>
        </w:rPr>
      </w:pPr>
      <w:proofErr w:type="spellStart"/>
      <w:r w:rsidRPr="00A67591">
        <w:rPr>
          <w:sz w:val="20"/>
          <w:szCs w:val="20"/>
        </w:rPr>
        <w:t>A&amp;E</w:t>
      </w:r>
      <w:proofErr w:type="spellEnd"/>
      <w:r w:rsidRPr="00A67591">
        <w:rPr>
          <w:sz w:val="20"/>
          <w:szCs w:val="20"/>
        </w:rPr>
        <w:t xml:space="preserve"> is rated </w:t>
      </w:r>
      <w:r w:rsidRPr="00A67591">
        <w:rPr>
          <w:i/>
          <w:iCs/>
          <w:sz w:val="20"/>
          <w:szCs w:val="20"/>
        </w:rPr>
        <w:t>Inadequate</w:t>
      </w:r>
      <w:r w:rsidRPr="00A67591">
        <w:rPr>
          <w:sz w:val="20"/>
          <w:szCs w:val="20"/>
        </w:rPr>
        <w:t>, with dangerous delays</w:t>
      </w:r>
    </w:p>
    <w:p w14:paraId="6F30F3BF" w14:textId="77777777" w:rsidR="00DA706E" w:rsidRDefault="00DA706E" w:rsidP="00A67591">
      <w:pPr>
        <w:numPr>
          <w:ilvl w:val="0"/>
          <w:numId w:val="6"/>
        </w:numPr>
        <w:spacing w:after="0" w:line="240" w:lineRule="auto"/>
        <w:rPr>
          <w:sz w:val="20"/>
          <w:szCs w:val="20"/>
        </w:rPr>
      </w:pPr>
      <w:r w:rsidRPr="00A67591">
        <w:rPr>
          <w:sz w:val="20"/>
          <w:szCs w:val="20"/>
        </w:rPr>
        <w:t>NWAS ambulance response times already exceed national safety targets</w:t>
      </w:r>
    </w:p>
    <w:p w14:paraId="5BC34579" w14:textId="77777777" w:rsidR="00A67591" w:rsidRPr="00A67591" w:rsidRDefault="00A67591" w:rsidP="00A67591">
      <w:pPr>
        <w:spacing w:after="0" w:line="240" w:lineRule="auto"/>
        <w:ind w:left="720"/>
        <w:rPr>
          <w:sz w:val="20"/>
          <w:szCs w:val="20"/>
        </w:rPr>
      </w:pPr>
    </w:p>
    <w:p w14:paraId="4403D61B" w14:textId="77777777" w:rsidR="00DA706E" w:rsidRDefault="00DA706E" w:rsidP="00A67591">
      <w:pPr>
        <w:spacing w:after="0" w:line="240" w:lineRule="auto"/>
        <w:rPr>
          <w:sz w:val="20"/>
          <w:szCs w:val="20"/>
        </w:rPr>
      </w:pPr>
      <w:r w:rsidRPr="00A67591">
        <w:rPr>
          <w:sz w:val="20"/>
          <w:szCs w:val="20"/>
        </w:rPr>
        <w:t>Introducing hundreds of additional households without guaranteed infrastructure funding is neither lawful nor safe.</w:t>
      </w:r>
    </w:p>
    <w:p w14:paraId="41B12B9B" w14:textId="77777777" w:rsidR="00A67591" w:rsidRPr="00A67591" w:rsidRDefault="00A67591" w:rsidP="00A67591">
      <w:pPr>
        <w:spacing w:after="0" w:line="240" w:lineRule="auto"/>
        <w:rPr>
          <w:sz w:val="20"/>
          <w:szCs w:val="20"/>
        </w:rPr>
      </w:pPr>
    </w:p>
    <w:p w14:paraId="62399D0D" w14:textId="77777777" w:rsidR="00DA706E" w:rsidRPr="00A67591" w:rsidRDefault="00DA706E" w:rsidP="00A67591">
      <w:pPr>
        <w:spacing w:after="0" w:line="240" w:lineRule="auto"/>
        <w:rPr>
          <w:b/>
          <w:bCs/>
          <w:sz w:val="20"/>
          <w:szCs w:val="20"/>
        </w:rPr>
      </w:pPr>
      <w:r w:rsidRPr="00A67591">
        <w:rPr>
          <w:b/>
          <w:bCs/>
          <w:sz w:val="20"/>
          <w:szCs w:val="20"/>
        </w:rPr>
        <w:t>Schools</w:t>
      </w:r>
    </w:p>
    <w:p w14:paraId="574AF45B" w14:textId="77777777" w:rsidR="00DA706E" w:rsidRPr="00A67591" w:rsidRDefault="00DA706E" w:rsidP="00A67591">
      <w:pPr>
        <w:numPr>
          <w:ilvl w:val="0"/>
          <w:numId w:val="7"/>
        </w:numPr>
        <w:spacing w:after="0" w:line="240" w:lineRule="auto"/>
        <w:rPr>
          <w:sz w:val="20"/>
          <w:szCs w:val="20"/>
        </w:rPr>
      </w:pPr>
      <w:r w:rsidRPr="00A67591">
        <w:rPr>
          <w:sz w:val="20"/>
          <w:szCs w:val="20"/>
        </w:rPr>
        <w:t>Local schools are at or near capacity</w:t>
      </w:r>
    </w:p>
    <w:p w14:paraId="718D31D4" w14:textId="77777777" w:rsidR="00DA706E" w:rsidRPr="00A67591" w:rsidRDefault="00DA706E" w:rsidP="00A67591">
      <w:pPr>
        <w:numPr>
          <w:ilvl w:val="0"/>
          <w:numId w:val="7"/>
        </w:numPr>
        <w:spacing w:after="0" w:line="240" w:lineRule="auto"/>
        <w:rPr>
          <w:sz w:val="20"/>
          <w:szCs w:val="20"/>
        </w:rPr>
      </w:pPr>
      <w:r w:rsidRPr="00A67591">
        <w:rPr>
          <w:sz w:val="20"/>
          <w:szCs w:val="20"/>
        </w:rPr>
        <w:lastRenderedPageBreak/>
        <w:t>No confirmed plan or funding for additional places</w:t>
      </w:r>
    </w:p>
    <w:p w14:paraId="50BD8C00" w14:textId="77777777" w:rsidR="00DA706E" w:rsidRDefault="00DA706E" w:rsidP="00A67591">
      <w:pPr>
        <w:numPr>
          <w:ilvl w:val="0"/>
          <w:numId w:val="7"/>
        </w:numPr>
        <w:spacing w:after="0" w:line="240" w:lineRule="auto"/>
        <w:rPr>
          <w:sz w:val="20"/>
          <w:szCs w:val="20"/>
        </w:rPr>
      </w:pPr>
      <w:proofErr w:type="spellStart"/>
      <w:r w:rsidRPr="00A67591">
        <w:rPr>
          <w:sz w:val="20"/>
          <w:szCs w:val="20"/>
        </w:rPr>
        <w:t>NPPF</w:t>
      </w:r>
      <w:proofErr w:type="spellEnd"/>
      <w:r w:rsidRPr="00A67591">
        <w:rPr>
          <w:sz w:val="20"/>
          <w:szCs w:val="20"/>
        </w:rPr>
        <w:t xml:space="preserve"> 95 requires sufficient school capacity </w:t>
      </w:r>
      <w:r w:rsidRPr="00A67591">
        <w:rPr>
          <w:i/>
          <w:iCs/>
          <w:sz w:val="20"/>
          <w:szCs w:val="20"/>
        </w:rPr>
        <w:t>before</w:t>
      </w:r>
      <w:r w:rsidRPr="00A67591">
        <w:rPr>
          <w:sz w:val="20"/>
          <w:szCs w:val="20"/>
        </w:rPr>
        <w:t xml:space="preserve"> approving major development</w:t>
      </w:r>
    </w:p>
    <w:p w14:paraId="46A803AD" w14:textId="4E2AA85F" w:rsidR="00A67591" w:rsidRPr="00A67591" w:rsidRDefault="00A67591" w:rsidP="00A67591">
      <w:pPr>
        <w:spacing w:after="0" w:line="240" w:lineRule="auto"/>
        <w:ind w:left="720"/>
        <w:rPr>
          <w:sz w:val="20"/>
          <w:szCs w:val="20"/>
        </w:rPr>
      </w:pPr>
    </w:p>
    <w:p w14:paraId="12B0AAC1" w14:textId="77777777" w:rsidR="00DA706E" w:rsidRDefault="00DA706E" w:rsidP="00A67591">
      <w:pPr>
        <w:spacing w:after="0" w:line="240" w:lineRule="auto"/>
        <w:rPr>
          <w:sz w:val="20"/>
          <w:szCs w:val="20"/>
        </w:rPr>
      </w:pPr>
      <w:r w:rsidRPr="00A67591">
        <w:rPr>
          <w:sz w:val="20"/>
          <w:szCs w:val="20"/>
        </w:rPr>
        <w:t>The Plan fails this requirement.</w:t>
      </w:r>
    </w:p>
    <w:p w14:paraId="2D9EA12C" w14:textId="77777777" w:rsidR="00A67591" w:rsidRPr="00A67591" w:rsidRDefault="00A67591" w:rsidP="00A67591">
      <w:pPr>
        <w:spacing w:after="0" w:line="240" w:lineRule="auto"/>
        <w:rPr>
          <w:sz w:val="20"/>
          <w:szCs w:val="20"/>
        </w:rPr>
      </w:pPr>
    </w:p>
    <w:p w14:paraId="1686D5DE" w14:textId="77777777" w:rsidR="00DA706E" w:rsidRPr="00A67591" w:rsidRDefault="00DA706E" w:rsidP="00A67591">
      <w:pPr>
        <w:spacing w:after="0" w:line="240" w:lineRule="auto"/>
        <w:rPr>
          <w:b/>
          <w:bCs/>
          <w:sz w:val="20"/>
          <w:szCs w:val="20"/>
        </w:rPr>
      </w:pPr>
      <w:r w:rsidRPr="00A67591">
        <w:rPr>
          <w:b/>
          <w:bCs/>
          <w:sz w:val="20"/>
          <w:szCs w:val="20"/>
        </w:rPr>
        <w:t>4. Environmental, Flooding and Ecological Harm</w:t>
      </w:r>
    </w:p>
    <w:p w14:paraId="4DC762CA" w14:textId="77777777" w:rsidR="00DA706E" w:rsidRDefault="00DA706E" w:rsidP="00A67591">
      <w:pPr>
        <w:spacing w:after="0" w:line="240" w:lineRule="auto"/>
        <w:rPr>
          <w:sz w:val="20"/>
          <w:szCs w:val="20"/>
        </w:rPr>
      </w:pPr>
      <w:r w:rsidRPr="00A67591">
        <w:rPr>
          <w:sz w:val="20"/>
          <w:szCs w:val="20"/>
        </w:rPr>
        <w:t>Stockport’s own Green Belt Assessment ranks the area as High Harm.</w:t>
      </w:r>
    </w:p>
    <w:p w14:paraId="5F411F48" w14:textId="77777777" w:rsidR="00A67591" w:rsidRPr="00A67591" w:rsidRDefault="00A67591" w:rsidP="00A67591">
      <w:pPr>
        <w:spacing w:after="0" w:line="240" w:lineRule="auto"/>
        <w:rPr>
          <w:sz w:val="20"/>
          <w:szCs w:val="20"/>
        </w:rPr>
      </w:pPr>
    </w:p>
    <w:p w14:paraId="7525C19C" w14:textId="77777777" w:rsidR="00DA706E" w:rsidRPr="00A67591" w:rsidRDefault="00DA706E" w:rsidP="00A67591">
      <w:pPr>
        <w:spacing w:after="0" w:line="240" w:lineRule="auto"/>
        <w:rPr>
          <w:sz w:val="20"/>
          <w:szCs w:val="20"/>
        </w:rPr>
      </w:pPr>
      <w:r w:rsidRPr="00A67591">
        <w:rPr>
          <w:sz w:val="20"/>
          <w:szCs w:val="20"/>
        </w:rPr>
        <w:t>Key issues:</w:t>
      </w:r>
    </w:p>
    <w:p w14:paraId="448182E5" w14:textId="77777777" w:rsidR="00DA706E" w:rsidRPr="00A67591" w:rsidRDefault="00DA706E" w:rsidP="00A67591">
      <w:pPr>
        <w:numPr>
          <w:ilvl w:val="0"/>
          <w:numId w:val="8"/>
        </w:numPr>
        <w:spacing w:after="0" w:line="240" w:lineRule="auto"/>
        <w:ind w:left="714" w:hanging="357"/>
        <w:rPr>
          <w:sz w:val="20"/>
          <w:szCs w:val="20"/>
        </w:rPr>
      </w:pPr>
      <w:r w:rsidRPr="00A67591">
        <w:rPr>
          <w:sz w:val="20"/>
          <w:szCs w:val="20"/>
        </w:rPr>
        <w:t>Loss of wildlife corridors connecting Norbury Brook, Poise Brook, and the wider Goyt Valley</w:t>
      </w:r>
    </w:p>
    <w:p w14:paraId="37876388" w14:textId="77777777" w:rsidR="00DA706E" w:rsidRPr="00A67591" w:rsidRDefault="00DA706E" w:rsidP="00A67591">
      <w:pPr>
        <w:numPr>
          <w:ilvl w:val="0"/>
          <w:numId w:val="8"/>
        </w:numPr>
        <w:spacing w:after="0" w:line="240" w:lineRule="auto"/>
        <w:ind w:left="714" w:hanging="357"/>
        <w:rPr>
          <w:sz w:val="20"/>
          <w:szCs w:val="20"/>
        </w:rPr>
      </w:pPr>
      <w:r w:rsidRPr="00A67591">
        <w:rPr>
          <w:sz w:val="20"/>
          <w:szCs w:val="20"/>
        </w:rPr>
        <w:t>Increased local flood risk due to replacement of permeable agricultural soil with hardstanding</w:t>
      </w:r>
    </w:p>
    <w:p w14:paraId="6002382A" w14:textId="77777777" w:rsidR="00DA706E" w:rsidRPr="00A67591" w:rsidRDefault="00DA706E" w:rsidP="00A67591">
      <w:pPr>
        <w:numPr>
          <w:ilvl w:val="0"/>
          <w:numId w:val="8"/>
        </w:numPr>
        <w:spacing w:after="0" w:line="240" w:lineRule="auto"/>
        <w:ind w:left="714" w:hanging="357"/>
        <w:rPr>
          <w:sz w:val="20"/>
          <w:szCs w:val="20"/>
        </w:rPr>
      </w:pPr>
      <w:r w:rsidRPr="00A67591">
        <w:rPr>
          <w:sz w:val="20"/>
          <w:szCs w:val="20"/>
        </w:rPr>
        <w:t xml:space="preserve">Increased surface-water runoff affecting Hazel Grove, </w:t>
      </w:r>
      <w:proofErr w:type="spellStart"/>
      <w:r w:rsidRPr="00A67591">
        <w:rPr>
          <w:sz w:val="20"/>
          <w:szCs w:val="20"/>
        </w:rPr>
        <w:t>Offerton</w:t>
      </w:r>
      <w:proofErr w:type="spellEnd"/>
      <w:r w:rsidRPr="00A67591">
        <w:rPr>
          <w:sz w:val="20"/>
          <w:szCs w:val="20"/>
        </w:rPr>
        <w:t xml:space="preserve"> and communities downstream</w:t>
      </w:r>
    </w:p>
    <w:p w14:paraId="50318257" w14:textId="77777777" w:rsidR="00DA706E" w:rsidRDefault="00DA706E" w:rsidP="00A67591">
      <w:pPr>
        <w:numPr>
          <w:ilvl w:val="0"/>
          <w:numId w:val="8"/>
        </w:numPr>
        <w:spacing w:after="0" w:line="240" w:lineRule="auto"/>
        <w:ind w:left="714" w:hanging="357"/>
        <w:rPr>
          <w:sz w:val="20"/>
          <w:szCs w:val="20"/>
        </w:rPr>
      </w:pPr>
      <w:r w:rsidRPr="00A67591">
        <w:rPr>
          <w:sz w:val="20"/>
          <w:szCs w:val="20"/>
        </w:rPr>
        <w:t xml:space="preserve">Loss of landscape character, contrary to </w:t>
      </w:r>
      <w:proofErr w:type="spellStart"/>
      <w:r w:rsidRPr="00A67591">
        <w:rPr>
          <w:sz w:val="20"/>
          <w:szCs w:val="20"/>
        </w:rPr>
        <w:t>NPPF</w:t>
      </w:r>
      <w:proofErr w:type="spellEnd"/>
      <w:r w:rsidRPr="00A67591">
        <w:rPr>
          <w:sz w:val="20"/>
          <w:szCs w:val="20"/>
        </w:rPr>
        <w:t xml:space="preserve"> 174–176</w:t>
      </w:r>
    </w:p>
    <w:p w14:paraId="01EB697B" w14:textId="77777777" w:rsidR="00A67591" w:rsidRPr="00A67591" w:rsidRDefault="00A67591" w:rsidP="00A67591">
      <w:pPr>
        <w:spacing w:after="0" w:line="240" w:lineRule="auto"/>
        <w:ind w:left="714"/>
        <w:rPr>
          <w:sz w:val="20"/>
          <w:szCs w:val="20"/>
        </w:rPr>
      </w:pPr>
    </w:p>
    <w:p w14:paraId="166230B4" w14:textId="77777777" w:rsidR="00DA706E" w:rsidRPr="00A67591" w:rsidRDefault="00DA706E" w:rsidP="00A67591">
      <w:pPr>
        <w:spacing w:after="0" w:line="240" w:lineRule="auto"/>
        <w:rPr>
          <w:sz w:val="20"/>
          <w:szCs w:val="20"/>
        </w:rPr>
      </w:pPr>
      <w:r w:rsidRPr="00A67591">
        <w:rPr>
          <w:sz w:val="20"/>
          <w:szCs w:val="20"/>
        </w:rPr>
        <w:t>Additionally:</w:t>
      </w:r>
    </w:p>
    <w:p w14:paraId="4FF32ED9" w14:textId="77777777" w:rsidR="00DA706E" w:rsidRPr="00A67591" w:rsidRDefault="00DA706E" w:rsidP="00A67591">
      <w:pPr>
        <w:numPr>
          <w:ilvl w:val="0"/>
          <w:numId w:val="9"/>
        </w:numPr>
        <w:spacing w:after="0" w:line="240" w:lineRule="auto"/>
        <w:ind w:left="714" w:hanging="357"/>
        <w:rPr>
          <w:sz w:val="20"/>
          <w:szCs w:val="20"/>
        </w:rPr>
      </w:pPr>
      <w:r w:rsidRPr="00A67591">
        <w:rPr>
          <w:sz w:val="20"/>
          <w:szCs w:val="20"/>
        </w:rPr>
        <w:t>The proposed allocation has not been subject to an adequate Habitats Regulations Assessment (</w:t>
      </w:r>
      <w:proofErr w:type="spellStart"/>
      <w:r w:rsidRPr="00A67591">
        <w:rPr>
          <w:sz w:val="20"/>
          <w:szCs w:val="20"/>
        </w:rPr>
        <w:t>HRA</w:t>
      </w:r>
      <w:proofErr w:type="spellEnd"/>
      <w:r w:rsidRPr="00A67591">
        <w:rPr>
          <w:sz w:val="20"/>
          <w:szCs w:val="20"/>
        </w:rPr>
        <w:t>)</w:t>
      </w:r>
    </w:p>
    <w:p w14:paraId="3F592348" w14:textId="77777777" w:rsidR="00DA706E" w:rsidRDefault="00DA706E" w:rsidP="00A67591">
      <w:pPr>
        <w:numPr>
          <w:ilvl w:val="0"/>
          <w:numId w:val="9"/>
        </w:numPr>
        <w:spacing w:after="0" w:line="240" w:lineRule="auto"/>
        <w:ind w:left="714" w:hanging="357"/>
        <w:rPr>
          <w:sz w:val="20"/>
          <w:szCs w:val="20"/>
        </w:rPr>
      </w:pPr>
      <w:r w:rsidRPr="00A67591">
        <w:rPr>
          <w:sz w:val="20"/>
          <w:szCs w:val="20"/>
        </w:rPr>
        <w:t>The Strategic Environmental Assessment (SEA) lacks detailed cumulative modelling for neighbouring allocations</w:t>
      </w:r>
    </w:p>
    <w:p w14:paraId="2159D395" w14:textId="77777777" w:rsidR="00A67591" w:rsidRPr="00A67591" w:rsidRDefault="00A67591" w:rsidP="00A67591">
      <w:pPr>
        <w:spacing w:after="0" w:line="240" w:lineRule="auto"/>
        <w:ind w:left="714"/>
        <w:rPr>
          <w:sz w:val="20"/>
          <w:szCs w:val="20"/>
        </w:rPr>
      </w:pPr>
    </w:p>
    <w:p w14:paraId="59AB62F0" w14:textId="77777777" w:rsidR="00DA706E" w:rsidRDefault="00DA706E" w:rsidP="00A67591">
      <w:pPr>
        <w:spacing w:after="0" w:line="240" w:lineRule="auto"/>
        <w:rPr>
          <w:sz w:val="20"/>
          <w:szCs w:val="20"/>
        </w:rPr>
      </w:pPr>
      <w:r w:rsidRPr="00A67591">
        <w:rPr>
          <w:sz w:val="20"/>
          <w:szCs w:val="20"/>
        </w:rPr>
        <w:t>These omissions leave the Plan vulnerable to legal challenge or failure at Examination.</w:t>
      </w:r>
    </w:p>
    <w:p w14:paraId="78244696" w14:textId="77777777" w:rsidR="00A67591" w:rsidRPr="00A67591" w:rsidRDefault="00A67591" w:rsidP="00A67591">
      <w:pPr>
        <w:spacing w:after="0" w:line="240" w:lineRule="auto"/>
        <w:rPr>
          <w:sz w:val="20"/>
          <w:szCs w:val="20"/>
        </w:rPr>
      </w:pPr>
    </w:p>
    <w:p w14:paraId="47F61A80" w14:textId="77777777" w:rsidR="00DA706E" w:rsidRPr="00A67591" w:rsidRDefault="00DA706E" w:rsidP="00A67591">
      <w:pPr>
        <w:spacing w:after="0" w:line="240" w:lineRule="auto"/>
        <w:rPr>
          <w:b/>
          <w:bCs/>
          <w:sz w:val="20"/>
          <w:szCs w:val="20"/>
        </w:rPr>
      </w:pPr>
      <w:r w:rsidRPr="00A67591">
        <w:rPr>
          <w:b/>
          <w:bCs/>
          <w:sz w:val="20"/>
          <w:szCs w:val="20"/>
        </w:rPr>
        <w:t>5. Air Quality Risks – Area Already Below WHO Standards</w:t>
      </w:r>
    </w:p>
    <w:p w14:paraId="47637013" w14:textId="77777777" w:rsidR="00DA706E" w:rsidRPr="00A67591" w:rsidRDefault="00DA706E" w:rsidP="00A67591">
      <w:pPr>
        <w:spacing w:after="0" w:line="240" w:lineRule="auto"/>
        <w:rPr>
          <w:sz w:val="20"/>
          <w:szCs w:val="20"/>
        </w:rPr>
      </w:pPr>
      <w:r w:rsidRPr="00A67591">
        <w:rPr>
          <w:sz w:val="20"/>
          <w:szCs w:val="20"/>
        </w:rPr>
        <w:t xml:space="preserve">Hazel Grove and the </w:t>
      </w:r>
      <w:proofErr w:type="spellStart"/>
      <w:r w:rsidRPr="00A67591">
        <w:rPr>
          <w:sz w:val="20"/>
          <w:szCs w:val="20"/>
        </w:rPr>
        <w:t>A6</w:t>
      </w:r>
      <w:proofErr w:type="spellEnd"/>
      <w:r w:rsidRPr="00A67591">
        <w:rPr>
          <w:sz w:val="20"/>
          <w:szCs w:val="20"/>
        </w:rPr>
        <w:t xml:space="preserve"> corridor record:</w:t>
      </w:r>
    </w:p>
    <w:p w14:paraId="4CCF5EFF" w14:textId="77777777" w:rsidR="00DA706E" w:rsidRPr="00A67591" w:rsidRDefault="00DA706E" w:rsidP="00A67591">
      <w:pPr>
        <w:numPr>
          <w:ilvl w:val="0"/>
          <w:numId w:val="10"/>
        </w:numPr>
        <w:spacing w:after="0" w:line="240" w:lineRule="auto"/>
        <w:ind w:left="714" w:hanging="357"/>
        <w:rPr>
          <w:sz w:val="20"/>
          <w:szCs w:val="20"/>
        </w:rPr>
      </w:pPr>
      <w:proofErr w:type="spellStart"/>
      <w:r w:rsidRPr="00A67591">
        <w:rPr>
          <w:sz w:val="20"/>
          <w:szCs w:val="20"/>
        </w:rPr>
        <w:t>PM2.5</w:t>
      </w:r>
      <w:proofErr w:type="spellEnd"/>
      <w:r w:rsidRPr="00A67591">
        <w:rPr>
          <w:sz w:val="20"/>
          <w:szCs w:val="20"/>
        </w:rPr>
        <w:t xml:space="preserve"> levels above WHO safe limits</w:t>
      </w:r>
    </w:p>
    <w:p w14:paraId="4A7C2B29" w14:textId="77777777" w:rsidR="00DA706E" w:rsidRPr="00A67591" w:rsidRDefault="00DA706E" w:rsidP="00A67591">
      <w:pPr>
        <w:numPr>
          <w:ilvl w:val="0"/>
          <w:numId w:val="10"/>
        </w:numPr>
        <w:spacing w:after="0" w:line="240" w:lineRule="auto"/>
        <w:ind w:left="714" w:hanging="357"/>
        <w:rPr>
          <w:sz w:val="20"/>
          <w:szCs w:val="20"/>
        </w:rPr>
      </w:pPr>
      <w:r w:rsidRPr="00A67591">
        <w:rPr>
          <w:sz w:val="20"/>
          <w:szCs w:val="20"/>
        </w:rPr>
        <w:t>NO₂ regularly breaching recommended levels</w:t>
      </w:r>
    </w:p>
    <w:p w14:paraId="1890AB86" w14:textId="77777777" w:rsidR="00DA706E" w:rsidRDefault="00DA706E" w:rsidP="00A67591">
      <w:pPr>
        <w:numPr>
          <w:ilvl w:val="0"/>
          <w:numId w:val="10"/>
        </w:numPr>
        <w:spacing w:after="0" w:line="240" w:lineRule="auto"/>
        <w:ind w:left="714" w:hanging="357"/>
        <w:rPr>
          <w:sz w:val="20"/>
          <w:szCs w:val="20"/>
        </w:rPr>
      </w:pPr>
      <w:r w:rsidRPr="00A67591">
        <w:rPr>
          <w:sz w:val="20"/>
          <w:szCs w:val="20"/>
        </w:rPr>
        <w:t>Pollution hotspots at school walking routes (</w:t>
      </w:r>
      <w:proofErr w:type="spellStart"/>
      <w:r w:rsidRPr="00A67591">
        <w:rPr>
          <w:sz w:val="20"/>
          <w:szCs w:val="20"/>
        </w:rPr>
        <w:t>Torkington</w:t>
      </w:r>
      <w:proofErr w:type="spellEnd"/>
      <w:r w:rsidRPr="00A67591">
        <w:rPr>
          <w:sz w:val="20"/>
          <w:szCs w:val="20"/>
        </w:rPr>
        <w:t>, Hazel Grove High)</w:t>
      </w:r>
    </w:p>
    <w:p w14:paraId="07196AF5" w14:textId="77777777" w:rsidR="00A67591" w:rsidRPr="00A67591" w:rsidRDefault="00A67591" w:rsidP="00A67591">
      <w:pPr>
        <w:spacing w:after="0" w:line="240" w:lineRule="auto"/>
        <w:ind w:left="714"/>
        <w:rPr>
          <w:sz w:val="20"/>
          <w:szCs w:val="20"/>
        </w:rPr>
      </w:pPr>
    </w:p>
    <w:p w14:paraId="0110EF2D" w14:textId="77777777" w:rsidR="00DA706E" w:rsidRDefault="00DA706E" w:rsidP="00A67591">
      <w:pPr>
        <w:spacing w:after="0" w:line="240" w:lineRule="auto"/>
        <w:rPr>
          <w:sz w:val="20"/>
          <w:szCs w:val="20"/>
        </w:rPr>
      </w:pPr>
      <w:r w:rsidRPr="00A67591">
        <w:rPr>
          <w:sz w:val="20"/>
          <w:szCs w:val="20"/>
        </w:rPr>
        <w:t xml:space="preserve">Developing a major site accessed via already congested roads will worsen exposure for children, directly conflicting with </w:t>
      </w:r>
      <w:proofErr w:type="spellStart"/>
      <w:r w:rsidRPr="00A67591">
        <w:rPr>
          <w:sz w:val="20"/>
          <w:szCs w:val="20"/>
        </w:rPr>
        <w:t>NPPF</w:t>
      </w:r>
      <w:proofErr w:type="spellEnd"/>
      <w:r w:rsidRPr="00A67591">
        <w:rPr>
          <w:sz w:val="20"/>
          <w:szCs w:val="20"/>
        </w:rPr>
        <w:t xml:space="preserve"> paras 185–186.</w:t>
      </w:r>
    </w:p>
    <w:p w14:paraId="0D92918E" w14:textId="77777777" w:rsidR="00A67591" w:rsidRPr="00A67591" w:rsidRDefault="00A67591" w:rsidP="00A67591">
      <w:pPr>
        <w:spacing w:after="0" w:line="240" w:lineRule="auto"/>
        <w:rPr>
          <w:sz w:val="20"/>
          <w:szCs w:val="20"/>
        </w:rPr>
      </w:pPr>
    </w:p>
    <w:p w14:paraId="7D08D594" w14:textId="77777777" w:rsidR="00DA706E" w:rsidRPr="00A67591" w:rsidRDefault="00DA706E" w:rsidP="00A67591">
      <w:pPr>
        <w:spacing w:after="0" w:line="240" w:lineRule="auto"/>
        <w:rPr>
          <w:b/>
          <w:bCs/>
          <w:sz w:val="20"/>
          <w:szCs w:val="20"/>
        </w:rPr>
      </w:pPr>
      <w:r w:rsidRPr="00A67591">
        <w:rPr>
          <w:b/>
          <w:bCs/>
          <w:sz w:val="20"/>
          <w:szCs w:val="20"/>
        </w:rPr>
        <w:t>6. Legal, Equality and Human Rights Concerns</w:t>
      </w:r>
    </w:p>
    <w:p w14:paraId="56F69093" w14:textId="77777777" w:rsidR="00DA706E" w:rsidRPr="00A67591" w:rsidRDefault="00DA706E" w:rsidP="00A67591">
      <w:pPr>
        <w:spacing w:after="0" w:line="240" w:lineRule="auto"/>
        <w:rPr>
          <w:sz w:val="20"/>
          <w:szCs w:val="20"/>
        </w:rPr>
      </w:pPr>
      <w:r w:rsidRPr="00A67591">
        <w:rPr>
          <w:sz w:val="20"/>
          <w:szCs w:val="20"/>
        </w:rPr>
        <w:t>The proposal risks breaching:</w:t>
      </w:r>
    </w:p>
    <w:p w14:paraId="4C154805" w14:textId="77777777" w:rsidR="00DA706E" w:rsidRPr="00A67591" w:rsidRDefault="00DA706E" w:rsidP="00A67591">
      <w:pPr>
        <w:numPr>
          <w:ilvl w:val="0"/>
          <w:numId w:val="11"/>
        </w:numPr>
        <w:spacing w:after="0" w:line="240" w:lineRule="auto"/>
        <w:ind w:left="714" w:hanging="357"/>
        <w:rPr>
          <w:sz w:val="20"/>
          <w:szCs w:val="20"/>
        </w:rPr>
      </w:pPr>
      <w:r w:rsidRPr="00A67591">
        <w:rPr>
          <w:sz w:val="20"/>
          <w:szCs w:val="20"/>
        </w:rPr>
        <w:t>Planning &amp; Compulsory Purchase Act 2004 (</w:t>
      </w:r>
      <w:proofErr w:type="spellStart"/>
      <w:r w:rsidRPr="00A67591">
        <w:rPr>
          <w:sz w:val="20"/>
          <w:szCs w:val="20"/>
        </w:rPr>
        <w:t>s.19</w:t>
      </w:r>
      <w:proofErr w:type="spellEnd"/>
      <w:r w:rsidRPr="00A67591">
        <w:rPr>
          <w:sz w:val="20"/>
          <w:szCs w:val="20"/>
        </w:rPr>
        <w:t>) — lack of sustainable development evidence</w:t>
      </w:r>
    </w:p>
    <w:p w14:paraId="6778C1E1" w14:textId="77777777" w:rsidR="00DA706E" w:rsidRPr="00A67591" w:rsidRDefault="00DA706E" w:rsidP="00A67591">
      <w:pPr>
        <w:numPr>
          <w:ilvl w:val="0"/>
          <w:numId w:val="11"/>
        </w:numPr>
        <w:spacing w:after="0" w:line="240" w:lineRule="auto"/>
        <w:ind w:left="714" w:hanging="357"/>
        <w:rPr>
          <w:sz w:val="20"/>
          <w:szCs w:val="20"/>
        </w:rPr>
      </w:pPr>
      <w:r w:rsidRPr="00A67591">
        <w:rPr>
          <w:sz w:val="20"/>
          <w:szCs w:val="20"/>
        </w:rPr>
        <w:t>Environment Act 2021 — failure to demonstrate biodiversity net gain</w:t>
      </w:r>
    </w:p>
    <w:p w14:paraId="1EB2BB51" w14:textId="77777777" w:rsidR="00DA706E" w:rsidRPr="00A67591" w:rsidRDefault="00DA706E" w:rsidP="00A67591">
      <w:pPr>
        <w:numPr>
          <w:ilvl w:val="0"/>
          <w:numId w:val="11"/>
        </w:numPr>
        <w:spacing w:after="0" w:line="240" w:lineRule="auto"/>
        <w:ind w:left="714" w:hanging="357"/>
        <w:rPr>
          <w:sz w:val="20"/>
          <w:szCs w:val="20"/>
        </w:rPr>
      </w:pPr>
      <w:r w:rsidRPr="00A67591">
        <w:rPr>
          <w:sz w:val="20"/>
          <w:szCs w:val="20"/>
        </w:rPr>
        <w:t>Human Rights Act 1998, Articles 2 &amp; 8 — due to threats created by emergency service delays and polluted environments</w:t>
      </w:r>
    </w:p>
    <w:p w14:paraId="49C8DF74" w14:textId="77777777" w:rsidR="00DA706E" w:rsidRDefault="00DA706E" w:rsidP="00A67591">
      <w:pPr>
        <w:numPr>
          <w:ilvl w:val="0"/>
          <w:numId w:val="11"/>
        </w:numPr>
        <w:spacing w:after="0" w:line="240" w:lineRule="auto"/>
        <w:ind w:left="714" w:hanging="357"/>
        <w:rPr>
          <w:sz w:val="20"/>
          <w:szCs w:val="20"/>
        </w:rPr>
      </w:pPr>
      <w:r w:rsidRPr="00A67591">
        <w:rPr>
          <w:sz w:val="20"/>
          <w:szCs w:val="20"/>
        </w:rPr>
        <w:t>Public Sector Equality Duty (Equality Act 2010) — disproportionate impact on children, older residents, disabled people and low-income households</w:t>
      </w:r>
    </w:p>
    <w:p w14:paraId="755C6F8D" w14:textId="77777777" w:rsidR="00A67591" w:rsidRPr="00A67591" w:rsidRDefault="00A67591" w:rsidP="00A67591">
      <w:pPr>
        <w:spacing w:after="0" w:line="240" w:lineRule="auto"/>
        <w:ind w:left="714"/>
        <w:rPr>
          <w:sz w:val="20"/>
          <w:szCs w:val="20"/>
        </w:rPr>
      </w:pPr>
    </w:p>
    <w:p w14:paraId="3A31347E" w14:textId="77777777" w:rsidR="00DA706E" w:rsidRDefault="00DA706E" w:rsidP="00A67591">
      <w:pPr>
        <w:spacing w:after="0" w:line="240" w:lineRule="auto"/>
        <w:rPr>
          <w:sz w:val="20"/>
          <w:szCs w:val="20"/>
        </w:rPr>
      </w:pPr>
      <w:r w:rsidRPr="00A67591">
        <w:rPr>
          <w:sz w:val="20"/>
          <w:szCs w:val="20"/>
        </w:rPr>
        <w:t>This is compounded by recent case law requiring councils to fully examine Green Belt harm and alternative options.</w:t>
      </w:r>
    </w:p>
    <w:p w14:paraId="0E7F5757" w14:textId="77777777" w:rsidR="00A67591" w:rsidRPr="00A67591" w:rsidRDefault="00A67591" w:rsidP="00A67591">
      <w:pPr>
        <w:spacing w:after="0" w:line="240" w:lineRule="auto"/>
        <w:rPr>
          <w:sz w:val="20"/>
          <w:szCs w:val="20"/>
        </w:rPr>
      </w:pPr>
    </w:p>
    <w:p w14:paraId="77C16641" w14:textId="77777777" w:rsidR="00DA706E" w:rsidRDefault="00DA706E" w:rsidP="00A67591">
      <w:pPr>
        <w:spacing w:after="0" w:line="240" w:lineRule="auto"/>
        <w:rPr>
          <w:b/>
          <w:bCs/>
          <w:sz w:val="20"/>
          <w:szCs w:val="20"/>
        </w:rPr>
      </w:pPr>
      <w:r w:rsidRPr="00A67591">
        <w:rPr>
          <w:b/>
          <w:bCs/>
          <w:sz w:val="20"/>
          <w:szCs w:val="20"/>
        </w:rPr>
        <w:t>Demand for Action</w:t>
      </w:r>
    </w:p>
    <w:p w14:paraId="097D1198" w14:textId="77777777" w:rsidR="009021F6" w:rsidRPr="00A67591" w:rsidRDefault="009021F6" w:rsidP="00A67591">
      <w:pPr>
        <w:spacing w:after="0" w:line="240" w:lineRule="auto"/>
        <w:rPr>
          <w:b/>
          <w:bCs/>
          <w:sz w:val="20"/>
          <w:szCs w:val="20"/>
        </w:rPr>
      </w:pPr>
    </w:p>
    <w:p w14:paraId="517CB21D" w14:textId="77777777" w:rsidR="00DA706E" w:rsidRDefault="00DA706E" w:rsidP="00A67591">
      <w:pPr>
        <w:spacing w:after="0" w:line="240" w:lineRule="auto"/>
        <w:rPr>
          <w:sz w:val="20"/>
          <w:szCs w:val="20"/>
        </w:rPr>
      </w:pPr>
      <w:r w:rsidRPr="00A67591">
        <w:rPr>
          <w:sz w:val="20"/>
          <w:szCs w:val="20"/>
        </w:rPr>
        <w:t>Given the above, I urge Stockport Council to:</w:t>
      </w:r>
    </w:p>
    <w:p w14:paraId="32ACABEC" w14:textId="77777777" w:rsidR="009021F6" w:rsidRPr="00A67591" w:rsidRDefault="009021F6" w:rsidP="00A67591">
      <w:pPr>
        <w:spacing w:after="0" w:line="240" w:lineRule="auto"/>
        <w:rPr>
          <w:sz w:val="20"/>
          <w:szCs w:val="20"/>
        </w:rPr>
      </w:pPr>
    </w:p>
    <w:p w14:paraId="37C9EEF5" w14:textId="77777777" w:rsidR="00DA706E" w:rsidRPr="00A67591" w:rsidRDefault="00DA706E" w:rsidP="00A67591">
      <w:pPr>
        <w:numPr>
          <w:ilvl w:val="0"/>
          <w:numId w:val="12"/>
        </w:numPr>
        <w:spacing w:after="0" w:line="240" w:lineRule="auto"/>
        <w:ind w:left="714" w:hanging="357"/>
        <w:rPr>
          <w:sz w:val="20"/>
          <w:szCs w:val="20"/>
        </w:rPr>
      </w:pPr>
      <w:r w:rsidRPr="00A67591">
        <w:rPr>
          <w:sz w:val="20"/>
          <w:szCs w:val="20"/>
        </w:rPr>
        <w:t>Remove HOM 2.18 (Sandown Road) from the Local Plan.</w:t>
      </w:r>
    </w:p>
    <w:p w14:paraId="58E10079" w14:textId="77777777" w:rsidR="00DA706E" w:rsidRPr="00A67591" w:rsidRDefault="00DA706E" w:rsidP="00A67591">
      <w:pPr>
        <w:numPr>
          <w:ilvl w:val="0"/>
          <w:numId w:val="12"/>
        </w:numPr>
        <w:spacing w:after="0" w:line="240" w:lineRule="auto"/>
        <w:ind w:left="714" w:hanging="357"/>
        <w:rPr>
          <w:sz w:val="20"/>
          <w:szCs w:val="20"/>
        </w:rPr>
      </w:pPr>
      <w:r w:rsidRPr="00A67591">
        <w:rPr>
          <w:sz w:val="20"/>
          <w:szCs w:val="20"/>
        </w:rPr>
        <w:t>Commit to a brownfield-first strategy with transparent capacity modelling.</w:t>
      </w:r>
    </w:p>
    <w:p w14:paraId="4ADC0922" w14:textId="77777777" w:rsidR="00DA706E" w:rsidRPr="00A67591" w:rsidRDefault="00DA706E" w:rsidP="00A67591">
      <w:pPr>
        <w:numPr>
          <w:ilvl w:val="0"/>
          <w:numId w:val="12"/>
        </w:numPr>
        <w:spacing w:after="0" w:line="240" w:lineRule="auto"/>
        <w:ind w:left="714" w:hanging="357"/>
        <w:rPr>
          <w:sz w:val="20"/>
          <w:szCs w:val="20"/>
        </w:rPr>
      </w:pPr>
      <w:r w:rsidRPr="00A67591">
        <w:rPr>
          <w:sz w:val="20"/>
          <w:szCs w:val="20"/>
        </w:rPr>
        <w:t>Publish full infrastructure assessments for health, education, transport and emergency services.</w:t>
      </w:r>
    </w:p>
    <w:p w14:paraId="76573BC2" w14:textId="77777777" w:rsidR="00DA706E" w:rsidRPr="00A67591" w:rsidRDefault="00DA706E" w:rsidP="00A67591">
      <w:pPr>
        <w:numPr>
          <w:ilvl w:val="0"/>
          <w:numId w:val="12"/>
        </w:numPr>
        <w:spacing w:after="0" w:line="240" w:lineRule="auto"/>
        <w:ind w:left="714" w:hanging="357"/>
        <w:rPr>
          <w:sz w:val="20"/>
          <w:szCs w:val="20"/>
        </w:rPr>
      </w:pPr>
      <w:r w:rsidRPr="00A67591">
        <w:rPr>
          <w:sz w:val="20"/>
          <w:szCs w:val="20"/>
        </w:rPr>
        <w:t xml:space="preserve">Reassess Green Belt harm and demonstrate lawful compliance with </w:t>
      </w:r>
      <w:proofErr w:type="spellStart"/>
      <w:r w:rsidRPr="00A67591">
        <w:rPr>
          <w:sz w:val="20"/>
          <w:szCs w:val="20"/>
        </w:rPr>
        <w:t>NPPF</w:t>
      </w:r>
      <w:proofErr w:type="spellEnd"/>
      <w:r w:rsidRPr="00A67591">
        <w:rPr>
          <w:sz w:val="20"/>
          <w:szCs w:val="20"/>
        </w:rPr>
        <w:t xml:space="preserve"> requirements.</w:t>
      </w:r>
    </w:p>
    <w:p w14:paraId="0B9C7C96" w14:textId="77777777" w:rsidR="00DA706E" w:rsidRDefault="00DA706E" w:rsidP="00A67591">
      <w:pPr>
        <w:numPr>
          <w:ilvl w:val="0"/>
          <w:numId w:val="12"/>
        </w:numPr>
        <w:spacing w:after="0" w:line="240" w:lineRule="auto"/>
        <w:ind w:left="714" w:hanging="357"/>
        <w:rPr>
          <w:sz w:val="20"/>
          <w:szCs w:val="20"/>
        </w:rPr>
      </w:pPr>
      <w:r w:rsidRPr="00A67591">
        <w:rPr>
          <w:sz w:val="20"/>
          <w:szCs w:val="20"/>
        </w:rPr>
        <w:t>Ensure the Local Plan is sound, evidence-based and consistent with national policy.</w:t>
      </w:r>
    </w:p>
    <w:p w14:paraId="28C04D19" w14:textId="77777777" w:rsidR="00A67591" w:rsidRPr="00A67591" w:rsidRDefault="00A67591" w:rsidP="00A67591">
      <w:pPr>
        <w:spacing w:after="0" w:line="240" w:lineRule="auto"/>
        <w:ind w:left="714"/>
        <w:rPr>
          <w:sz w:val="20"/>
          <w:szCs w:val="20"/>
        </w:rPr>
      </w:pPr>
    </w:p>
    <w:p w14:paraId="0D644AC1" w14:textId="77777777" w:rsidR="00DA706E" w:rsidRDefault="00DA706E" w:rsidP="00A67591">
      <w:pPr>
        <w:spacing w:after="0" w:line="240" w:lineRule="auto"/>
        <w:rPr>
          <w:sz w:val="20"/>
          <w:szCs w:val="20"/>
        </w:rPr>
      </w:pPr>
      <w:r w:rsidRPr="00A67591">
        <w:rPr>
          <w:sz w:val="20"/>
          <w:szCs w:val="20"/>
        </w:rPr>
        <w:t>Failure to meet these requirements will leave the Plan open to challenge at Examination and judicial review.</w:t>
      </w:r>
    </w:p>
    <w:p w14:paraId="14F2C0B1" w14:textId="77777777" w:rsidR="00A67591" w:rsidRPr="00A67591" w:rsidRDefault="00A67591" w:rsidP="00A67591">
      <w:pPr>
        <w:spacing w:after="0" w:line="240" w:lineRule="auto"/>
        <w:rPr>
          <w:sz w:val="20"/>
          <w:szCs w:val="20"/>
        </w:rPr>
      </w:pPr>
    </w:p>
    <w:p w14:paraId="5B9493CC" w14:textId="034CED51" w:rsidR="00DA706E" w:rsidRPr="00A67591" w:rsidRDefault="00DA706E" w:rsidP="00A67591">
      <w:pPr>
        <w:spacing w:after="0" w:line="240" w:lineRule="auto"/>
        <w:rPr>
          <w:sz w:val="20"/>
          <w:szCs w:val="20"/>
        </w:rPr>
      </w:pPr>
      <w:r w:rsidRPr="00A67591">
        <w:rPr>
          <w:b/>
          <w:bCs/>
          <w:sz w:val="20"/>
          <w:szCs w:val="20"/>
        </w:rPr>
        <w:t>Yours faithfully,</w:t>
      </w:r>
      <w:r w:rsidRPr="00A67591">
        <w:rPr>
          <w:sz w:val="20"/>
          <w:szCs w:val="20"/>
        </w:rPr>
        <w:br/>
      </w:r>
    </w:p>
    <w:p w14:paraId="6C16C5DE" w14:textId="719FE271" w:rsidR="0099282D" w:rsidRPr="00A67591" w:rsidRDefault="0099282D" w:rsidP="00A67591">
      <w:pPr>
        <w:spacing w:after="0" w:line="240" w:lineRule="auto"/>
        <w:rPr>
          <w:sz w:val="20"/>
          <w:szCs w:val="20"/>
        </w:rPr>
      </w:pPr>
    </w:p>
    <w:sectPr w:rsidR="0099282D" w:rsidRPr="00A67591" w:rsidSect="00DA706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D2FA5"/>
    <w:multiLevelType w:val="multilevel"/>
    <w:tmpl w:val="23889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2D3725"/>
    <w:multiLevelType w:val="multilevel"/>
    <w:tmpl w:val="7AD84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342B94"/>
    <w:multiLevelType w:val="multilevel"/>
    <w:tmpl w:val="27FA0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7C75D4"/>
    <w:multiLevelType w:val="multilevel"/>
    <w:tmpl w:val="45CAC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8565BF"/>
    <w:multiLevelType w:val="multilevel"/>
    <w:tmpl w:val="51BE7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9D349E"/>
    <w:multiLevelType w:val="multilevel"/>
    <w:tmpl w:val="7E341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494768F"/>
    <w:multiLevelType w:val="multilevel"/>
    <w:tmpl w:val="52063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41036F"/>
    <w:multiLevelType w:val="multilevel"/>
    <w:tmpl w:val="CE202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12580B"/>
    <w:multiLevelType w:val="multilevel"/>
    <w:tmpl w:val="CEBA3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6F1A9E"/>
    <w:multiLevelType w:val="multilevel"/>
    <w:tmpl w:val="BF0CD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A85CC9"/>
    <w:multiLevelType w:val="multilevel"/>
    <w:tmpl w:val="CA00E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7E2D8F"/>
    <w:multiLevelType w:val="multilevel"/>
    <w:tmpl w:val="09B24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610355">
    <w:abstractNumId w:val="7"/>
  </w:num>
  <w:num w:numId="2" w16cid:durableId="1375737839">
    <w:abstractNumId w:val="6"/>
  </w:num>
  <w:num w:numId="3" w16cid:durableId="224604943">
    <w:abstractNumId w:val="10"/>
  </w:num>
  <w:num w:numId="4" w16cid:durableId="149054449">
    <w:abstractNumId w:val="0"/>
  </w:num>
  <w:num w:numId="5" w16cid:durableId="1989506738">
    <w:abstractNumId w:val="8"/>
  </w:num>
  <w:num w:numId="6" w16cid:durableId="1393583348">
    <w:abstractNumId w:val="9"/>
  </w:num>
  <w:num w:numId="7" w16cid:durableId="117720612">
    <w:abstractNumId w:val="3"/>
  </w:num>
  <w:num w:numId="8" w16cid:durableId="55468955">
    <w:abstractNumId w:val="1"/>
  </w:num>
  <w:num w:numId="9" w16cid:durableId="293753486">
    <w:abstractNumId w:val="11"/>
  </w:num>
  <w:num w:numId="10" w16cid:durableId="1163546503">
    <w:abstractNumId w:val="4"/>
  </w:num>
  <w:num w:numId="11" w16cid:durableId="706684555">
    <w:abstractNumId w:val="2"/>
  </w:num>
  <w:num w:numId="12" w16cid:durableId="5831481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06E"/>
    <w:rsid w:val="001A6031"/>
    <w:rsid w:val="001C09B9"/>
    <w:rsid w:val="004608F0"/>
    <w:rsid w:val="004D2418"/>
    <w:rsid w:val="009021F6"/>
    <w:rsid w:val="0099282D"/>
    <w:rsid w:val="00A67591"/>
    <w:rsid w:val="00DA706E"/>
    <w:rsid w:val="00DC5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1DF09"/>
  <w15:chartTrackingRefBased/>
  <w15:docId w15:val="{B7A6A194-BCBB-43BC-A2E5-3F90B6699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70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70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70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70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70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70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70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70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70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70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70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70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70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70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70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70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70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706E"/>
    <w:rPr>
      <w:rFonts w:eastAsiaTheme="majorEastAsia" w:cstheme="majorBidi"/>
      <w:color w:val="272727" w:themeColor="text1" w:themeTint="D8"/>
    </w:rPr>
  </w:style>
  <w:style w:type="paragraph" w:styleId="Title">
    <w:name w:val="Title"/>
    <w:basedOn w:val="Normal"/>
    <w:next w:val="Normal"/>
    <w:link w:val="TitleChar"/>
    <w:uiPriority w:val="10"/>
    <w:qFormat/>
    <w:rsid w:val="00DA70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70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70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70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706E"/>
    <w:pPr>
      <w:spacing w:before="160"/>
      <w:jc w:val="center"/>
    </w:pPr>
    <w:rPr>
      <w:i/>
      <w:iCs/>
      <w:color w:val="404040" w:themeColor="text1" w:themeTint="BF"/>
    </w:rPr>
  </w:style>
  <w:style w:type="character" w:customStyle="1" w:styleId="QuoteChar">
    <w:name w:val="Quote Char"/>
    <w:basedOn w:val="DefaultParagraphFont"/>
    <w:link w:val="Quote"/>
    <w:uiPriority w:val="29"/>
    <w:rsid w:val="00DA706E"/>
    <w:rPr>
      <w:i/>
      <w:iCs/>
      <w:color w:val="404040" w:themeColor="text1" w:themeTint="BF"/>
    </w:rPr>
  </w:style>
  <w:style w:type="paragraph" w:styleId="ListParagraph">
    <w:name w:val="List Paragraph"/>
    <w:basedOn w:val="Normal"/>
    <w:uiPriority w:val="34"/>
    <w:qFormat/>
    <w:rsid w:val="00DA706E"/>
    <w:pPr>
      <w:ind w:left="720"/>
      <w:contextualSpacing/>
    </w:pPr>
  </w:style>
  <w:style w:type="character" w:styleId="IntenseEmphasis">
    <w:name w:val="Intense Emphasis"/>
    <w:basedOn w:val="DefaultParagraphFont"/>
    <w:uiPriority w:val="21"/>
    <w:qFormat/>
    <w:rsid w:val="00DA706E"/>
    <w:rPr>
      <w:i/>
      <w:iCs/>
      <w:color w:val="0F4761" w:themeColor="accent1" w:themeShade="BF"/>
    </w:rPr>
  </w:style>
  <w:style w:type="paragraph" w:styleId="IntenseQuote">
    <w:name w:val="Intense Quote"/>
    <w:basedOn w:val="Normal"/>
    <w:next w:val="Normal"/>
    <w:link w:val="IntenseQuoteChar"/>
    <w:uiPriority w:val="30"/>
    <w:qFormat/>
    <w:rsid w:val="00DA70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706E"/>
    <w:rPr>
      <w:i/>
      <w:iCs/>
      <w:color w:val="0F4761" w:themeColor="accent1" w:themeShade="BF"/>
    </w:rPr>
  </w:style>
  <w:style w:type="character" w:styleId="IntenseReference">
    <w:name w:val="Intense Reference"/>
    <w:basedOn w:val="DefaultParagraphFont"/>
    <w:uiPriority w:val="32"/>
    <w:qFormat/>
    <w:rsid w:val="00DA706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61C52-54DC-48A6-B42E-7091BB1BB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827</Words>
  <Characters>4719</Characters>
  <Application>Microsoft Office Word</Application>
  <DocSecurity>0</DocSecurity>
  <Lines>39</Lines>
  <Paragraphs>11</Paragraphs>
  <ScaleCrop>false</ScaleCrop>
  <Company/>
  <LinksUpToDate>false</LinksUpToDate>
  <CharactersWithSpaces>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Hodgson</dc:creator>
  <cp:keywords/>
  <dc:description/>
  <cp:lastModifiedBy>Rachel Hodgson</cp:lastModifiedBy>
  <cp:revision>4</cp:revision>
  <dcterms:created xsi:type="dcterms:W3CDTF">2025-12-02T13:20:00Z</dcterms:created>
  <dcterms:modified xsi:type="dcterms:W3CDTF">2025-12-02T15:41:00Z</dcterms:modified>
</cp:coreProperties>
</file>